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54" w:rsidRDefault="00FF7672">
      <w:bookmarkStart w:id="0" w:name="_GoBack"/>
      <w:bookmarkEnd w:id="0"/>
      <w:r>
        <w:t>Maryland Code Crowdfunding Provision</w:t>
      </w:r>
    </w:p>
    <w:p w:rsidR="00FF7672" w:rsidRDefault="00FF7672"/>
    <w:p w:rsidR="00FF7672" w:rsidRDefault="00FF7672">
      <w:r>
        <w:t> (16) To the extent the Commissioner by rule or order may permit, any security issued by an entity formed, organized, or existing under the laws of the State if:</w:t>
      </w:r>
      <w:r>
        <w:br/>
      </w:r>
      <w:r>
        <w:br/>
        <w:t>      (i) The offering of the security is conducted in accordance with § 3(a)(11) of the Securities Act of 1933 and Rule 147 adopted under the Securities Act of 1933;</w:t>
      </w:r>
      <w:r>
        <w:br/>
      </w:r>
      <w:r>
        <w:br/>
        <w:t>      (ii) The offer and sale of the security are made only to residents of the State;</w:t>
      </w:r>
      <w:r>
        <w:br/>
      </w:r>
      <w:r>
        <w:br/>
        <w:t>      (iii) The aggregate price of securities in an offering under this item does not exceed $ 100,000;</w:t>
      </w:r>
      <w:r>
        <w:br/>
      </w:r>
      <w:r>
        <w:br/>
        <w:t>      (iv) The total consideration paid by any purchaser of securities in an offering under this item does not exceed $ 100;</w:t>
      </w:r>
      <w:r>
        <w:br/>
      </w:r>
      <w:r>
        <w:br/>
        <w:t>      (v) No commission or other remuneration is paid in connection with an offering of securities under this item to any person who is not registered as required under this title;</w:t>
      </w:r>
      <w:r>
        <w:br/>
      </w:r>
      <w:r>
        <w:br/>
        <w:t>      (vi) Neither the issuer nor any of its related persons is subject to a disqualification as defined by the Commissioner by rule or order; and</w:t>
      </w:r>
      <w:r>
        <w:br/>
      </w:r>
      <w:r>
        <w:br/>
        <w:t>      (vii) The security is sold in an offering conducted in compliance with any conditions established by rule or order of the Commissioner, which may include:</w:t>
      </w:r>
      <w:r>
        <w:br/>
      </w:r>
      <w:r>
        <w:br/>
        <w:t>         1. Restrictions on the nature of the issuer;</w:t>
      </w:r>
      <w:r>
        <w:br/>
      </w:r>
      <w:r>
        <w:br/>
        <w:t>         2. Limitations on the number and manner of offerings;</w:t>
      </w:r>
      <w:r>
        <w:br/>
      </w:r>
      <w:r>
        <w:br/>
        <w:t>         3. Required disclosures to investors, including risk factors related to the issuer and the offering; and</w:t>
      </w:r>
      <w:r>
        <w:br/>
      </w:r>
      <w:r>
        <w:br/>
        <w:t>         4. Required filing with the Commissioner of notices and other materials related to the offering; and</w:t>
      </w:r>
      <w:r>
        <w:br/>
      </w:r>
      <w:r>
        <w:br/>
        <w:t>   (17) Any security as to which the Commissioner by rule or order finds that:</w:t>
      </w:r>
      <w:r>
        <w:br/>
      </w:r>
      <w:r>
        <w:br/>
        <w:t>      (i) Compliance with §§ 11-205 and 11-501 of this title is not necessary or appropriate for the protection of investors; and</w:t>
      </w:r>
      <w:r>
        <w:br/>
      </w:r>
      <w:r>
        <w:br/>
        <w:t>      (ii) The exemption is consistent with the public interest and within the purposes fairly intended by the policy and provisions of this title.</w:t>
      </w:r>
    </w:p>
    <w:sectPr w:rsidR="00FF7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672"/>
    <w:rsid w:val="00606554"/>
    <w:rsid w:val="00F01B9A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y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\Users\Carolyn\AppData\Roaming\Microsoft\Templates\Single spaced (blank).dotx</Template>
  <TotalTime>1</TotalTime>
  <Pages>1</Pages>
  <Words>281</Words>
  <Characters>1603</Characters>
  <Application>Microsoft Macintosh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</dc:creator>
  <cp:keywords/>
  <dc:description/>
  <cp:lastModifiedBy>Darlene Heckman</cp:lastModifiedBy>
  <cp:revision>2</cp:revision>
  <dcterms:created xsi:type="dcterms:W3CDTF">2014-12-09T22:20:00Z</dcterms:created>
  <dcterms:modified xsi:type="dcterms:W3CDTF">2014-12-09T22:20:00Z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